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6C38" w14:textId="77777777" w:rsidR="00FE24BE" w:rsidRPr="004B77F6" w:rsidRDefault="00FE24BE" w:rsidP="00FE24BE">
      <w:pPr>
        <w:pStyle w:val="4-Submain-templates"/>
        <w:rPr>
          <w:rFonts w:ascii="Times New Roman" w:hAnsi="Times New Roman"/>
          <w:u w:color="000000"/>
        </w:rPr>
      </w:pPr>
      <w:bookmarkStart w:id="0" w:name="_Toc31807952"/>
      <w:r w:rsidRPr="004B77F6">
        <w:rPr>
          <w:rFonts w:ascii="Times New Roman" w:hAnsi="Times New Roman"/>
          <w:u w:color="000000"/>
        </w:rPr>
        <w:t>Regulatory Analysis</w:t>
      </w:r>
      <w:bookmarkEnd w:id="0"/>
    </w:p>
    <w:p w14:paraId="714750AB" w14:textId="77777777" w:rsidR="00FE24BE" w:rsidRPr="004B77F6" w:rsidRDefault="00FE24BE" w:rsidP="00FE24BE">
      <w:pPr>
        <w:pStyle w:val="BodyText"/>
        <w:spacing w:before="72"/>
        <w:rPr>
          <w:rFonts w:ascii="Times New Roman" w:hAnsi="Times New Roman" w:cs="Times New Roman"/>
          <w:szCs w:val="24"/>
          <w:u w:color="000000"/>
        </w:rPr>
      </w:pPr>
    </w:p>
    <w:p w14:paraId="57EEB664" w14:textId="77777777" w:rsidR="00FE24BE" w:rsidRPr="004B77F6" w:rsidRDefault="00FE24BE" w:rsidP="00FE24BE">
      <w:pPr>
        <w:pStyle w:val="BodyText"/>
        <w:spacing w:before="72"/>
        <w:rPr>
          <w:rFonts w:ascii="Times New Roman" w:hAnsi="Times New Roman" w:cs="Times New Roman"/>
          <w:szCs w:val="24"/>
          <w:u w:color="000000"/>
        </w:rPr>
      </w:pPr>
    </w:p>
    <w:p w14:paraId="7BD80758" w14:textId="77777777" w:rsidR="00FE24BE" w:rsidRPr="004B77F6" w:rsidRDefault="00FE24BE" w:rsidP="00FE24BE">
      <w:pPr>
        <w:pStyle w:val="BodyText"/>
        <w:numPr>
          <w:ilvl w:val="0"/>
          <w:numId w:val="1"/>
        </w:numPr>
        <w:spacing w:before="72" w:line="480" w:lineRule="auto"/>
        <w:rPr>
          <w:rFonts w:ascii="Times New Roman" w:hAnsi="Times New Roman" w:cs="Times New Roman"/>
          <w:szCs w:val="24"/>
          <w:u w:color="000000"/>
        </w:rPr>
      </w:pPr>
      <w:r w:rsidRPr="004B77F6">
        <w:rPr>
          <w:rFonts w:ascii="Times New Roman" w:hAnsi="Times New Roman" w:cs="Times New Roman"/>
          <w:szCs w:val="24"/>
          <w:u w:color="000000"/>
        </w:rPr>
        <w:t xml:space="preserve">Who are the classes of persons who will probably be affected by the proposed rule, including classes that will bear the costs of the proposed rule and classes that will benefit from the proposed rule? </w:t>
      </w:r>
      <w:r w:rsidRPr="004B77F6">
        <w:rPr>
          <w:rFonts w:ascii="Times New Roman" w:hAnsi="Times New Roman" w:cs="Times New Roman"/>
          <w:b/>
          <w:szCs w:val="24"/>
          <w:u w:color="000000"/>
        </w:rPr>
        <w:t>[Insert answer.]</w:t>
      </w:r>
    </w:p>
    <w:p w14:paraId="299EC630" w14:textId="77777777" w:rsidR="00FE24BE" w:rsidRPr="004B77F6" w:rsidRDefault="00FE24BE" w:rsidP="00FE24BE">
      <w:pPr>
        <w:pStyle w:val="BodyText"/>
        <w:numPr>
          <w:ilvl w:val="0"/>
          <w:numId w:val="1"/>
        </w:numPr>
        <w:spacing w:before="72" w:line="480" w:lineRule="auto"/>
        <w:rPr>
          <w:rFonts w:ascii="Times New Roman" w:hAnsi="Times New Roman" w:cs="Times New Roman"/>
          <w:szCs w:val="24"/>
          <w:u w:color="000000"/>
        </w:rPr>
      </w:pPr>
      <w:r w:rsidRPr="004B77F6">
        <w:rPr>
          <w:rFonts w:ascii="Times New Roman" w:hAnsi="Times New Roman" w:cs="Times New Roman"/>
          <w:szCs w:val="24"/>
          <w:u w:color="000000"/>
        </w:rPr>
        <w:t xml:space="preserve">What is the probable impact, including economic impact, of the proposed rule? </w:t>
      </w:r>
      <w:r w:rsidRPr="004B77F6">
        <w:rPr>
          <w:rFonts w:ascii="Times New Roman" w:hAnsi="Times New Roman" w:cs="Times New Roman"/>
          <w:b/>
          <w:szCs w:val="24"/>
          <w:u w:color="000000"/>
        </w:rPr>
        <w:t>[Insert answer.]</w:t>
      </w:r>
    </w:p>
    <w:p w14:paraId="4B25E5CB" w14:textId="77777777" w:rsidR="00FE24BE" w:rsidRPr="004B77F6" w:rsidRDefault="00FE24BE" w:rsidP="00FE24BE">
      <w:pPr>
        <w:pStyle w:val="BodyText"/>
        <w:numPr>
          <w:ilvl w:val="0"/>
          <w:numId w:val="1"/>
        </w:numPr>
        <w:spacing w:before="72" w:line="480" w:lineRule="auto"/>
        <w:rPr>
          <w:rFonts w:ascii="Times New Roman" w:hAnsi="Times New Roman" w:cs="Times New Roman"/>
          <w:szCs w:val="24"/>
          <w:u w:color="000000"/>
        </w:rPr>
      </w:pPr>
      <w:r w:rsidRPr="004B77F6">
        <w:rPr>
          <w:rFonts w:ascii="Times New Roman" w:hAnsi="Times New Roman" w:cs="Times New Roman"/>
          <w:szCs w:val="24"/>
          <w:u w:color="000000"/>
        </w:rPr>
        <w:t xml:space="preserve">What is the probable costs to the agency of the implementation and enforcement of the proposed rule and any anticipated effect on state revenues? </w:t>
      </w:r>
      <w:r w:rsidRPr="004B77F6">
        <w:rPr>
          <w:rFonts w:ascii="Times New Roman" w:hAnsi="Times New Roman" w:cs="Times New Roman"/>
          <w:b/>
          <w:szCs w:val="24"/>
          <w:u w:color="000000"/>
        </w:rPr>
        <w:t>[Insert answer.]</w:t>
      </w:r>
    </w:p>
    <w:p w14:paraId="07ED8C18" w14:textId="77777777" w:rsidR="00FE24BE" w:rsidRPr="004B77F6" w:rsidRDefault="00FE24BE" w:rsidP="00FE24BE">
      <w:pPr>
        <w:pStyle w:val="BodyText"/>
        <w:numPr>
          <w:ilvl w:val="0"/>
          <w:numId w:val="1"/>
        </w:numPr>
        <w:spacing w:before="72" w:line="480" w:lineRule="auto"/>
        <w:rPr>
          <w:rFonts w:ascii="Times New Roman" w:hAnsi="Times New Roman" w:cs="Times New Roman"/>
          <w:szCs w:val="24"/>
          <w:u w:color="000000"/>
        </w:rPr>
      </w:pPr>
      <w:r w:rsidRPr="004B77F6">
        <w:rPr>
          <w:rFonts w:ascii="Times New Roman" w:hAnsi="Times New Roman" w:cs="Times New Roman"/>
          <w:szCs w:val="24"/>
          <w:u w:color="000000"/>
        </w:rPr>
        <w:t xml:space="preserve">What were the alternative methods for achieving the purpose of the proposed rule that were seriously considered by the agency/board and why was each method rejected in favor of the proposed rule? </w:t>
      </w:r>
      <w:r w:rsidRPr="004B77F6">
        <w:rPr>
          <w:rFonts w:ascii="Times New Roman" w:hAnsi="Times New Roman" w:cs="Times New Roman"/>
          <w:b/>
          <w:szCs w:val="24"/>
          <w:u w:color="000000"/>
        </w:rPr>
        <w:t>[Insert answer.]</w:t>
      </w:r>
    </w:p>
    <w:p w14:paraId="3F24250C" w14:textId="77777777" w:rsidR="00FE24BE" w:rsidRPr="004B77F6" w:rsidRDefault="00FE24BE" w:rsidP="00FE24BE">
      <w:pPr>
        <w:pStyle w:val="BodyText"/>
        <w:numPr>
          <w:ilvl w:val="0"/>
          <w:numId w:val="1"/>
        </w:numPr>
        <w:spacing w:before="72" w:line="480" w:lineRule="auto"/>
        <w:rPr>
          <w:rFonts w:ascii="Times New Roman" w:hAnsi="Times New Roman" w:cs="Times New Roman"/>
          <w:szCs w:val="24"/>
          <w:u w:color="000000"/>
        </w:rPr>
      </w:pPr>
      <w:r w:rsidRPr="004B77F6">
        <w:rPr>
          <w:rFonts w:ascii="Times New Roman" w:hAnsi="Times New Roman" w:cs="Times New Roman"/>
          <w:szCs w:val="24"/>
          <w:u w:color="000000"/>
        </w:rPr>
        <w:t xml:space="preserve">Please explain the information and data assessment as well as how the amounts of impact were determined, to the extent practicable. </w:t>
      </w:r>
      <w:r w:rsidRPr="004B77F6">
        <w:rPr>
          <w:rFonts w:ascii="Times New Roman" w:hAnsi="Times New Roman" w:cs="Times New Roman"/>
          <w:b/>
          <w:szCs w:val="24"/>
          <w:u w:color="000000"/>
        </w:rPr>
        <w:t>[Insert answer.]</w:t>
      </w:r>
    </w:p>
    <w:p w14:paraId="68AE1D44" w14:textId="77777777" w:rsidR="00FE24BE" w:rsidRPr="004B77F6" w:rsidRDefault="00FE24BE" w:rsidP="00FE24BE">
      <w:pPr>
        <w:pStyle w:val="BodyText"/>
        <w:spacing w:before="72"/>
        <w:ind w:left="720"/>
        <w:jc w:val="center"/>
        <w:rPr>
          <w:rFonts w:ascii="Times New Roman" w:hAnsi="Times New Roman" w:cs="Times New Roman"/>
          <w:szCs w:val="24"/>
        </w:rPr>
      </w:pPr>
      <w:r w:rsidRPr="004B77F6">
        <w:rPr>
          <w:rFonts w:ascii="Times New Roman" w:hAnsi="Times New Roman" w:cs="Times New Roman"/>
          <w:szCs w:val="24"/>
        </w:rPr>
        <w:t>*****</w:t>
      </w:r>
    </w:p>
    <w:p w14:paraId="7AA5A6B8" w14:textId="77777777" w:rsidR="00FE24BE" w:rsidRPr="004B77F6" w:rsidRDefault="00FE24BE" w:rsidP="00FE24BE">
      <w:pPr>
        <w:pStyle w:val="BodyText"/>
        <w:spacing w:before="72" w:line="480" w:lineRule="auto"/>
        <w:ind w:left="720" w:hanging="720"/>
        <w:jc w:val="left"/>
        <w:rPr>
          <w:rFonts w:ascii="Times New Roman" w:hAnsi="Times New Roman" w:cs="Times New Roman"/>
          <w:sz w:val="20"/>
        </w:rPr>
      </w:pPr>
      <w:r w:rsidRPr="004B77F6">
        <w:rPr>
          <w:rFonts w:ascii="Times New Roman" w:hAnsi="Times New Roman" w:cs="Times New Roman"/>
          <w:sz w:val="20"/>
        </w:rPr>
        <w:t>The following is informational and not a part of the template:</w:t>
      </w:r>
    </w:p>
    <w:p w14:paraId="3FF9EC10" w14:textId="77777777" w:rsidR="00FE24BE" w:rsidRPr="004B77F6" w:rsidRDefault="00FE24BE" w:rsidP="00FE24BE">
      <w:pPr>
        <w:pStyle w:val="BodyText"/>
        <w:spacing w:line="250" w:lineRule="exact"/>
        <w:ind w:firstLine="720"/>
        <w:rPr>
          <w:rFonts w:ascii="Times New Roman" w:hAnsi="Times New Roman" w:cs="Times New Roman"/>
          <w:sz w:val="20"/>
        </w:rPr>
      </w:pPr>
      <w:r w:rsidRPr="004B77F6">
        <w:rPr>
          <w:rFonts w:ascii="Times New Roman" w:hAnsi="Times New Roman" w:cs="Times New Roman"/>
          <w:sz w:val="20"/>
          <w:u w:color="000000"/>
        </w:rPr>
        <w:t>The analysis under this subdivision must be available on or before the first date of public</w:t>
      </w:r>
      <w:r w:rsidRPr="004B77F6">
        <w:rPr>
          <w:rFonts w:ascii="Times New Roman" w:hAnsi="Times New Roman" w:cs="Times New Roman"/>
          <w:w w:val="99"/>
          <w:sz w:val="20"/>
          <w:u w:color="000000"/>
        </w:rPr>
        <w:t xml:space="preserve"> </w:t>
      </w:r>
      <w:r w:rsidRPr="004B77F6">
        <w:rPr>
          <w:rFonts w:ascii="Times New Roman" w:hAnsi="Times New Roman" w:cs="Times New Roman"/>
          <w:sz w:val="20"/>
          <w:u w:color="000000"/>
        </w:rPr>
        <w:t xml:space="preserve">notice as provided for in </w:t>
      </w:r>
      <w:hyperlink r:id="rId5" w:anchor="nameddest=28-32-10" w:history="1">
        <w:r w:rsidRPr="004B77F6">
          <w:rPr>
            <w:rStyle w:val="Hyperlink"/>
            <w:rFonts w:ascii="Times New Roman" w:hAnsi="Times New Roman" w:cs="Times New Roman"/>
            <w:sz w:val="20"/>
            <w:u w:color="000000"/>
          </w:rPr>
          <w:t>N.D.C.C. § 28-32-10</w:t>
        </w:r>
      </w:hyperlink>
      <w:r w:rsidRPr="004B77F6">
        <w:rPr>
          <w:rFonts w:ascii="Times New Roman" w:hAnsi="Times New Roman" w:cs="Times New Roman"/>
          <w:sz w:val="20"/>
          <w:u w:color="000000"/>
        </w:rPr>
        <w:t>.</w:t>
      </w:r>
    </w:p>
    <w:p w14:paraId="71E1E82B" w14:textId="77777777" w:rsidR="00FE24BE" w:rsidRPr="004B77F6" w:rsidRDefault="00FE24BE" w:rsidP="00FE24BE">
      <w:pPr>
        <w:spacing w:before="3"/>
        <w:rPr>
          <w:rFonts w:ascii="Times New Roman" w:eastAsia="Arial" w:hAnsi="Times New Roman" w:cs="Times New Roman"/>
          <w:sz w:val="20"/>
        </w:rPr>
      </w:pPr>
    </w:p>
    <w:p w14:paraId="0294A8F8" w14:textId="77777777" w:rsidR="00FE24BE" w:rsidRPr="004B77F6" w:rsidRDefault="00FE24BE" w:rsidP="00FE24BE">
      <w:pPr>
        <w:pStyle w:val="BodyText"/>
        <w:ind w:firstLine="720"/>
        <w:rPr>
          <w:rFonts w:ascii="Times New Roman" w:hAnsi="Times New Roman" w:cs="Times New Roman"/>
          <w:sz w:val="20"/>
        </w:rPr>
      </w:pPr>
      <w:r w:rsidRPr="004B77F6">
        <w:rPr>
          <w:rFonts w:ascii="Times New Roman" w:hAnsi="Times New Roman" w:cs="Times New Roman"/>
          <w:sz w:val="20"/>
        </w:rPr>
        <w:t xml:space="preserve">The agency shall mail or deliver a copy of the </w:t>
      </w:r>
      <w:hyperlink w:anchor="Regulatory_Analysis" w:history="1">
        <w:r w:rsidRPr="004B77F6">
          <w:rPr>
            <w:rStyle w:val="Hyperlink"/>
            <w:rFonts w:ascii="Times New Roman" w:hAnsi="Times New Roman" w:cs="Times New Roman"/>
            <w:sz w:val="20"/>
          </w:rPr>
          <w:t>regulatory analysis</w:t>
        </w:r>
      </w:hyperlink>
      <w:r w:rsidRPr="004B77F6">
        <w:rPr>
          <w:rFonts w:ascii="Times New Roman" w:hAnsi="Times New Roman" w:cs="Times New Roman"/>
          <w:sz w:val="20"/>
        </w:rPr>
        <w:t xml:space="preserve"> to any person who requests</w:t>
      </w:r>
      <w:r w:rsidRPr="004B77F6">
        <w:rPr>
          <w:rFonts w:ascii="Times New Roman" w:hAnsi="Times New Roman" w:cs="Times New Roman"/>
          <w:w w:val="98"/>
          <w:sz w:val="20"/>
        </w:rPr>
        <w:t xml:space="preserve"> </w:t>
      </w:r>
      <w:r w:rsidRPr="004B77F6">
        <w:rPr>
          <w:rFonts w:ascii="Times New Roman" w:hAnsi="Times New Roman" w:cs="Times New Roman"/>
          <w:sz w:val="20"/>
        </w:rPr>
        <w:t xml:space="preserve">a copy of the </w:t>
      </w:r>
      <w:hyperlink w:anchor="Regulatory_Analysis" w:history="1">
        <w:r w:rsidRPr="004B77F6">
          <w:rPr>
            <w:rStyle w:val="Hyperlink"/>
            <w:rFonts w:ascii="Times New Roman" w:hAnsi="Times New Roman" w:cs="Times New Roman"/>
            <w:sz w:val="20"/>
          </w:rPr>
          <w:t>regulatory analysis</w:t>
        </w:r>
      </w:hyperlink>
      <w:r w:rsidRPr="004B77F6">
        <w:rPr>
          <w:rFonts w:ascii="Times New Roman" w:hAnsi="Times New Roman" w:cs="Times New Roman"/>
          <w:sz w:val="20"/>
        </w:rPr>
        <w:t xml:space="preserve">. The agency may charge a fee for a copy of the </w:t>
      </w:r>
      <w:hyperlink w:anchor="Regulatory_Analysis" w:history="1">
        <w:r w:rsidRPr="004B77F6">
          <w:rPr>
            <w:rStyle w:val="Hyperlink"/>
            <w:rFonts w:ascii="Times New Roman" w:hAnsi="Times New Roman" w:cs="Times New Roman"/>
            <w:sz w:val="20"/>
          </w:rPr>
          <w:t>regulatory</w:t>
        </w:r>
        <w:r w:rsidRPr="004B77F6">
          <w:rPr>
            <w:rStyle w:val="Hyperlink"/>
            <w:rFonts w:ascii="Times New Roman" w:hAnsi="Times New Roman" w:cs="Times New Roman"/>
            <w:w w:val="97"/>
            <w:sz w:val="20"/>
          </w:rPr>
          <w:t xml:space="preserve"> </w:t>
        </w:r>
        <w:r w:rsidRPr="004B77F6">
          <w:rPr>
            <w:rStyle w:val="Hyperlink"/>
            <w:rFonts w:ascii="Times New Roman" w:hAnsi="Times New Roman" w:cs="Times New Roman"/>
            <w:sz w:val="20"/>
          </w:rPr>
          <w:t>analysis</w:t>
        </w:r>
      </w:hyperlink>
      <w:r w:rsidRPr="004B77F6">
        <w:rPr>
          <w:rFonts w:ascii="Times New Roman" w:hAnsi="Times New Roman" w:cs="Times New Roman"/>
          <w:sz w:val="20"/>
        </w:rPr>
        <w:t xml:space="preserve"> as allowed under </w:t>
      </w:r>
      <w:hyperlink r:id="rId6" w:anchor="nameddest=44-04-18" w:history="1">
        <w:r w:rsidRPr="004B77F6">
          <w:rPr>
            <w:rStyle w:val="Hyperlink"/>
            <w:rFonts w:ascii="Times New Roman" w:hAnsi="Times New Roman" w:cs="Times New Roman"/>
            <w:sz w:val="20"/>
          </w:rPr>
          <w:t>N.D.C.C. § 44-04-18</w:t>
        </w:r>
      </w:hyperlink>
      <w:r w:rsidRPr="004B77F6">
        <w:rPr>
          <w:rFonts w:ascii="Times New Roman" w:hAnsi="Times New Roman" w:cs="Times New Roman"/>
          <w:sz w:val="20"/>
        </w:rPr>
        <w:t>.</w:t>
      </w:r>
    </w:p>
    <w:p w14:paraId="1C22E293" w14:textId="77777777" w:rsidR="00FE24BE" w:rsidRPr="004B77F6" w:rsidRDefault="00FE24BE" w:rsidP="00FE24BE">
      <w:pPr>
        <w:pStyle w:val="BodyText"/>
        <w:ind w:left="720" w:hanging="720"/>
        <w:rPr>
          <w:rFonts w:ascii="Times New Roman" w:hAnsi="Times New Roman" w:cs="Times New Roman"/>
          <w:sz w:val="20"/>
        </w:rPr>
      </w:pPr>
    </w:p>
    <w:p w14:paraId="015AE8E4" w14:textId="77777777" w:rsidR="00FE24BE" w:rsidRPr="004B77F6" w:rsidRDefault="00FE24BE" w:rsidP="00FE24BE">
      <w:pPr>
        <w:ind w:firstLine="720"/>
        <w:rPr>
          <w:rFonts w:ascii="Times New Roman" w:hAnsi="Times New Roman" w:cs="Times New Roman"/>
          <w:sz w:val="20"/>
        </w:rPr>
      </w:pPr>
      <w:r w:rsidRPr="004B77F6">
        <w:rPr>
          <w:rFonts w:ascii="Times New Roman" w:hAnsi="Times New Roman" w:cs="Times New Roman"/>
          <w:sz w:val="20"/>
        </w:rPr>
        <w:t xml:space="preserve">If required, the preparation and issuance of a </w:t>
      </w:r>
      <w:hyperlink w:anchor="Regulatory_Analysis" w:history="1">
        <w:r w:rsidRPr="004B77F6">
          <w:rPr>
            <w:rStyle w:val="Hyperlink"/>
            <w:rFonts w:ascii="Times New Roman" w:hAnsi="Times New Roman" w:cs="Times New Roman"/>
            <w:sz w:val="20"/>
          </w:rPr>
          <w:t>regulatory analysis</w:t>
        </w:r>
      </w:hyperlink>
      <w:r w:rsidRPr="004B77F6">
        <w:rPr>
          <w:rFonts w:ascii="Times New Roman" w:hAnsi="Times New Roman" w:cs="Times New Roman"/>
          <w:sz w:val="20"/>
        </w:rPr>
        <w:t xml:space="preserve"> is a</w:t>
      </w:r>
      <w:r w:rsidRPr="004B77F6">
        <w:rPr>
          <w:rFonts w:ascii="Times New Roman" w:hAnsi="Times New Roman" w:cs="Times New Roman"/>
          <w:w w:val="94"/>
          <w:sz w:val="20"/>
        </w:rPr>
        <w:t xml:space="preserve"> </w:t>
      </w:r>
      <w:r w:rsidRPr="004B77F6">
        <w:rPr>
          <w:rFonts w:ascii="Times New Roman" w:hAnsi="Times New Roman" w:cs="Times New Roman"/>
          <w:sz w:val="20"/>
        </w:rPr>
        <w:t xml:space="preserve">mandatory duty of the agency proposing a rule. Errors in a </w:t>
      </w:r>
      <w:hyperlink w:anchor="Regulatory_Analysis" w:history="1">
        <w:r w:rsidRPr="004B77F6">
          <w:rPr>
            <w:rStyle w:val="Hyperlink"/>
            <w:rFonts w:ascii="Times New Roman" w:hAnsi="Times New Roman" w:cs="Times New Roman"/>
            <w:sz w:val="20"/>
          </w:rPr>
          <w:t>regulatory analysis</w:t>
        </w:r>
      </w:hyperlink>
      <w:r w:rsidRPr="004B77F6">
        <w:rPr>
          <w:rFonts w:ascii="Times New Roman" w:hAnsi="Times New Roman" w:cs="Times New Roman"/>
          <w:sz w:val="20"/>
        </w:rPr>
        <w:t>, including</w:t>
      </w:r>
      <w:r w:rsidRPr="004B77F6">
        <w:rPr>
          <w:rFonts w:ascii="Times New Roman" w:hAnsi="Times New Roman" w:cs="Times New Roman"/>
          <w:w w:val="99"/>
          <w:sz w:val="20"/>
        </w:rPr>
        <w:t xml:space="preserve"> </w:t>
      </w:r>
      <w:r w:rsidRPr="004B77F6">
        <w:rPr>
          <w:rFonts w:ascii="Times New Roman" w:hAnsi="Times New Roman" w:cs="Times New Roman"/>
          <w:sz w:val="20"/>
        </w:rPr>
        <w:t>erroneous determinations concerning the impact of the proposed rule on the regulated</w:t>
      </w:r>
      <w:r w:rsidRPr="004B77F6">
        <w:rPr>
          <w:rFonts w:ascii="Times New Roman" w:hAnsi="Times New Roman" w:cs="Times New Roman"/>
          <w:w w:val="98"/>
          <w:sz w:val="20"/>
        </w:rPr>
        <w:t xml:space="preserve"> </w:t>
      </w:r>
      <w:r w:rsidRPr="004B77F6">
        <w:rPr>
          <w:rFonts w:ascii="Times New Roman" w:hAnsi="Times New Roman" w:cs="Times New Roman"/>
          <w:sz w:val="20"/>
        </w:rPr>
        <w:t>community, are not a ground upon which the invalidity of a rule may be asserted or declared.</w:t>
      </w:r>
    </w:p>
    <w:p w14:paraId="17A521E3" w14:textId="77777777" w:rsidR="00F57E2C" w:rsidRPr="004B77F6" w:rsidRDefault="00F57E2C" w:rsidP="00FE24BE">
      <w:pPr>
        <w:rPr>
          <w:rFonts w:ascii="Times New Roman" w:hAnsi="Times New Roman" w:cs="Times New Roman"/>
        </w:rPr>
      </w:pPr>
    </w:p>
    <w:sectPr w:rsidR="00F57E2C" w:rsidRPr="004B77F6" w:rsidSect="005E6115">
      <w:pgSz w:w="12240" w:h="15840" w:code="1"/>
      <w:pgMar w:top="1296" w:right="1440" w:bottom="1152" w:left="1440" w:header="432" w:footer="432" w:gutter="0"/>
      <w:paperSrc w:first="261" w:other="261"/>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D411F2"/>
    <w:multiLevelType w:val="hybridMultilevel"/>
    <w:tmpl w:val="0BD0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31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4BE"/>
    <w:rsid w:val="0006628A"/>
    <w:rsid w:val="00074878"/>
    <w:rsid w:val="00133B2D"/>
    <w:rsid w:val="001630C1"/>
    <w:rsid w:val="00165183"/>
    <w:rsid w:val="00301601"/>
    <w:rsid w:val="00323E5A"/>
    <w:rsid w:val="00356594"/>
    <w:rsid w:val="004B77F6"/>
    <w:rsid w:val="004D4E88"/>
    <w:rsid w:val="004E25B8"/>
    <w:rsid w:val="00592CDA"/>
    <w:rsid w:val="005A4F66"/>
    <w:rsid w:val="005E6115"/>
    <w:rsid w:val="006E78D5"/>
    <w:rsid w:val="006F4853"/>
    <w:rsid w:val="00712BB0"/>
    <w:rsid w:val="00780645"/>
    <w:rsid w:val="007D0727"/>
    <w:rsid w:val="00841EE8"/>
    <w:rsid w:val="00994D31"/>
    <w:rsid w:val="009F35F4"/>
    <w:rsid w:val="00B06AAA"/>
    <w:rsid w:val="00C112E2"/>
    <w:rsid w:val="00CC475D"/>
    <w:rsid w:val="00D877F1"/>
    <w:rsid w:val="00E02A3E"/>
    <w:rsid w:val="00E225DF"/>
    <w:rsid w:val="00E76FFB"/>
    <w:rsid w:val="00F24158"/>
    <w:rsid w:val="00F57E2C"/>
    <w:rsid w:val="00FE247E"/>
    <w:rsid w:val="00FE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AB4F"/>
  <w15:chartTrackingRefBased/>
  <w15:docId w15:val="{8E549B84-AEB8-4091-80D2-FC21717C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BE"/>
    <w:pPr>
      <w:spacing w:after="0" w:line="240" w:lineRule="auto"/>
      <w:jc w:val="both"/>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24BE"/>
  </w:style>
  <w:style w:type="character" w:customStyle="1" w:styleId="BodyTextChar">
    <w:name w:val="Body Text Char"/>
    <w:basedOn w:val="DefaultParagraphFont"/>
    <w:link w:val="BodyText"/>
    <w:rsid w:val="00FE24BE"/>
    <w:rPr>
      <w:rFonts w:ascii="Arial" w:eastAsia="Times New Roman" w:hAnsi="Arial" w:cs="Arial"/>
      <w:sz w:val="24"/>
      <w:szCs w:val="20"/>
    </w:rPr>
  </w:style>
  <w:style w:type="character" w:styleId="Hyperlink">
    <w:name w:val="Hyperlink"/>
    <w:basedOn w:val="DefaultParagraphFont"/>
    <w:uiPriority w:val="99"/>
    <w:unhideWhenUsed/>
    <w:rsid w:val="00FE24BE"/>
    <w:rPr>
      <w:color w:val="0000FF" w:themeColor="hyperlink"/>
      <w:u w:val="single"/>
    </w:rPr>
  </w:style>
  <w:style w:type="paragraph" w:customStyle="1" w:styleId="4-Submain-templates">
    <w:name w:val="4-Sub main-templates"/>
    <w:basedOn w:val="Normal"/>
    <w:autoRedefine/>
    <w:qFormat/>
    <w:rsid w:val="00FE24BE"/>
    <w:pPr>
      <w:keepNext/>
      <w:keepLines/>
      <w:spacing w:after="120"/>
      <w:jc w:val="left"/>
    </w:pPr>
    <w:rPr>
      <w:rFonts w:eastAsiaTheme="minorHAnsi" w:cs="Times New Roman"/>
      <w:b/>
      <w:sz w:val="3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nd.gov/cencode/t44c04.pdf" TargetMode="External"/><Relationship Id="rId5" Type="http://schemas.openxmlformats.org/officeDocument/2006/relationships/hyperlink" Target="https://www.legis.nd.gov/cencode/t28c3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North Dakota Attorney General</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NDAG</dc:creator>
  <cp:keywords/>
  <dc:description/>
  <cp:lastModifiedBy>Albers, Ashley M.</cp:lastModifiedBy>
  <cp:revision>2</cp:revision>
  <dcterms:created xsi:type="dcterms:W3CDTF">2025-05-23T14:22:00Z</dcterms:created>
  <dcterms:modified xsi:type="dcterms:W3CDTF">2025-05-23T14:22:00Z</dcterms:modified>
</cp:coreProperties>
</file>